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D3" w:rsidRPr="00CC1B75" w:rsidRDefault="004E7D21" w:rsidP="00C73E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Cs w:val="24"/>
          <w:lang w:eastAsia="ru-RU"/>
        </w:rPr>
        <w:t>РЕГ</w:t>
      </w:r>
      <w:r w:rsidR="00D235A2" w:rsidRPr="00CC1B75">
        <w:rPr>
          <w:rFonts w:ascii="Times New Roman" w:eastAsia="Times New Roman" w:hAnsi="Times New Roman" w:cs="Times New Roman"/>
          <w:b/>
          <w:szCs w:val="24"/>
          <w:lang w:eastAsia="ru-RU"/>
        </w:rPr>
        <w:t>ЛАМЕНТ ОЦЕНКИ ПРОФЕССИОНАЛЬНЫХ КОМПЕТЕНЦИЙ</w:t>
      </w:r>
      <w:r w:rsidR="00AE3B03" w:rsidRPr="00CC1B7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AE3B03" w:rsidRPr="00CC1B75" w:rsidRDefault="00AE3B03" w:rsidP="00C73E54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C1B7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ВЫПУСКНИКОВ  МАГИСТРАТУРЫ </w:t>
      </w:r>
      <w:r w:rsidR="00FF4701" w:rsidRPr="00CC1B7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CC1B7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ПО НАПРАВЛЕНИЮ ПОДГОТОВКИ 42.04.01 «РЕКЛАМА И СВЯЗИ С ОБЩЕСТВЕННОСТЬЮ» </w:t>
      </w:r>
    </w:p>
    <w:p w:rsidR="00D235A2" w:rsidRPr="00B82773" w:rsidRDefault="00D235A2" w:rsidP="00C73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52" w:rsidRPr="00B82773" w:rsidRDefault="0059578E" w:rsidP="00C73E54">
      <w:pPr>
        <w:pStyle w:val="a3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D022B" w:rsidRPr="00E84F36" w:rsidRDefault="007D7352" w:rsidP="00AD02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6F0764"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</w:t>
      </w:r>
      <w:r w:rsidR="00C73E54"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основные правила оценки профессиональных компетенций выпускников  магистратуры по направлению подготовки 42.04.01 «Реклама и связи с общественностью».</w:t>
      </w:r>
      <w:r w:rsidR="00AD022B" w:rsidRPr="00AD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22B"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022B" w:rsidRPr="00E8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тоговая государственная аттестация (ИГА) является наиболее действенным инструментом контроля качества подготовки выпускников. Как оценочная </w:t>
      </w:r>
      <w:proofErr w:type="spellStart"/>
      <w:r w:rsidR="00AD022B" w:rsidRPr="00E84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квалиметрическая</w:t>
      </w:r>
      <w:proofErr w:type="spellEnd"/>
      <w:r w:rsidR="00AD022B" w:rsidRPr="00E8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процедура, ИГА направлена на установление соответствия уровня профессиональной подготовки выпускников по образовательной программе </w:t>
      </w:r>
      <w:r w:rsidR="00AD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магистратуры </w:t>
      </w:r>
      <w:r w:rsidR="00AD022B" w:rsidRPr="00E84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</w:t>
      </w:r>
      <w:r w:rsidR="00AD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22B" w:rsidRPr="00AD022B">
        <w:rPr>
          <w:rFonts w:ascii="Times New Roman" w:eastAsia="Times New Roman" w:hAnsi="Times New Roman" w:cs="Times New Roman"/>
          <w:sz w:val="24"/>
          <w:szCs w:val="24"/>
          <w:lang w:eastAsia="ru-RU"/>
        </w:rPr>
        <w:t>42.04.01 «</w:t>
      </w:r>
      <w:r w:rsidR="00AD02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022B" w:rsidRPr="00AD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еклама и связи с общественностью» </w:t>
      </w:r>
      <w:r w:rsidR="00AD0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022B" w:rsidRPr="00E8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</w:t>
      </w:r>
      <w:r w:rsidR="00AD0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 СПбГУ.</w:t>
      </w:r>
    </w:p>
    <w:p w:rsidR="007D7352" w:rsidRPr="00B82773" w:rsidRDefault="007D7352" w:rsidP="00D44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Регламента распространяется на членов государственной аттестационной комиссии, магистрантов.</w:t>
      </w:r>
    </w:p>
    <w:p w:rsidR="007D7352" w:rsidRPr="00B82773" w:rsidRDefault="007D7352" w:rsidP="00D443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78E"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Регламент, дополнения к нему утверждаются </w:t>
      </w:r>
      <w:r w:rsidR="0080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Ученым советом Института «Высшая школа журналистики и массовых коммуникаций». </w:t>
      </w:r>
    </w:p>
    <w:p w:rsidR="007C1208" w:rsidRPr="00800C1B" w:rsidRDefault="00C73E54" w:rsidP="00800C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Процедура проведения оценки осуществляется в соответствии с</w:t>
      </w:r>
      <w:r w:rsidR="006F0764"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нормативно-правовыми актами </w:t>
      </w:r>
      <w:r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43D3"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Санкт-Петербургского государств</w:t>
      </w:r>
      <w:r w:rsidR="00800C1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университета, м</w:t>
      </w:r>
      <w:r w:rsidR="006F0764" w:rsidRPr="00B82773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етодическими рекомендациями</w:t>
      </w:r>
      <w:r w:rsidR="007C1208" w:rsidRPr="00B8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подготовке и защите выпускной квалификационной работы, выполняемой </w:t>
      </w:r>
      <w:r w:rsidR="00CC1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завершении освоения основной образовательной</w:t>
      </w:r>
      <w:r w:rsidR="007C1208" w:rsidRPr="00B8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CC1B7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C1208" w:rsidRPr="00B8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бакалавра и магистра по </w:t>
      </w:r>
      <w:r w:rsidR="00CC1B7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направлению</w:t>
      </w:r>
      <w:r w:rsidR="007C1208" w:rsidRPr="00B8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«Рек</w:t>
      </w:r>
      <w:r w:rsidR="006F0764" w:rsidRPr="00B8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лама и связи с общественностью». </w:t>
      </w:r>
    </w:p>
    <w:p w:rsidR="007C1208" w:rsidRPr="00B82773" w:rsidRDefault="007C1208" w:rsidP="007C1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8E" w:rsidRPr="00B82773" w:rsidRDefault="0059578E" w:rsidP="00C73E54">
      <w:pPr>
        <w:pStyle w:val="a3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термины</w:t>
      </w:r>
    </w:p>
    <w:p w:rsidR="007D7352" w:rsidRPr="00B82773" w:rsidRDefault="006F0764" w:rsidP="00D44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Р</w:t>
      </w:r>
      <w:r w:rsidR="0059578E"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егламенте</w:t>
      </w:r>
      <w:r w:rsidR="007D7352"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термины:</w:t>
      </w:r>
    </w:p>
    <w:p w:rsidR="0059578E" w:rsidRPr="00B82773" w:rsidRDefault="0059578E" w:rsidP="00D44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компетенция</w:t>
      </w:r>
      <w:r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F0764" w:rsidRPr="00B82773">
        <w:rPr>
          <w:rFonts w:ascii="Times New Roman" w:hAnsi="Times New Roman" w:cs="Times New Roman"/>
          <w:sz w:val="24"/>
          <w:szCs w:val="24"/>
        </w:rPr>
        <w:t>продемонстрированная субъектом способность осуществлять универсальный способ деятельности, инвариантный для всех (большинства) видов профессиональной деятельности,</w:t>
      </w:r>
      <w:r w:rsidR="006F0764"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 </w:t>
      </w:r>
    </w:p>
    <w:p w:rsidR="0059578E" w:rsidRPr="00B82773" w:rsidRDefault="0059578E" w:rsidP="00D44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компетенция</w:t>
      </w:r>
      <w:r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F0764" w:rsidRPr="00B82773">
        <w:rPr>
          <w:rFonts w:ascii="Times New Roman" w:hAnsi="Times New Roman" w:cs="Times New Roman"/>
          <w:sz w:val="24"/>
          <w:szCs w:val="24"/>
        </w:rPr>
        <w:t xml:space="preserve">продемонстрированная субъектом </w:t>
      </w:r>
      <w:r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успешно действовать на основе умений, знаний и практического опыта</w:t>
      </w:r>
      <w:r w:rsidR="00CC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задания, решения задач</w:t>
      </w:r>
      <w:r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деятельности.</w:t>
      </w:r>
    </w:p>
    <w:p w:rsidR="006F0764" w:rsidRPr="00B82773" w:rsidRDefault="006F0764" w:rsidP="006F07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2773">
        <w:rPr>
          <w:rFonts w:ascii="Times New Roman" w:hAnsi="Times New Roman" w:cs="Times New Roman"/>
          <w:b/>
          <w:sz w:val="24"/>
          <w:szCs w:val="24"/>
        </w:rPr>
        <w:lastRenderedPageBreak/>
        <w:t>Оценивание компетенций</w:t>
      </w:r>
      <w:r w:rsidR="00CC1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773">
        <w:rPr>
          <w:rFonts w:ascii="Times New Roman" w:hAnsi="Times New Roman" w:cs="Times New Roman"/>
          <w:sz w:val="24"/>
          <w:szCs w:val="24"/>
        </w:rPr>
        <w:t>- процесс, в ходе которого соискатель оценки должен продемонстрировать наличие компетенций, а уполномоченный орган</w:t>
      </w:r>
      <w:r w:rsidR="00CC1B75">
        <w:rPr>
          <w:rFonts w:ascii="Times New Roman" w:hAnsi="Times New Roman" w:cs="Times New Roman"/>
          <w:sz w:val="24"/>
          <w:szCs w:val="24"/>
        </w:rPr>
        <w:t xml:space="preserve"> </w:t>
      </w:r>
      <w:r w:rsidRPr="00B82773">
        <w:rPr>
          <w:rFonts w:ascii="Times New Roman" w:hAnsi="Times New Roman" w:cs="Times New Roman"/>
          <w:sz w:val="24"/>
          <w:szCs w:val="24"/>
        </w:rPr>
        <w:t>- оценить  соответствие продемонстрированных компетенций определенному квалификационному уровню.</w:t>
      </w:r>
    </w:p>
    <w:p w:rsidR="006F0764" w:rsidRPr="00B82773" w:rsidRDefault="006F0764" w:rsidP="006F07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3">
        <w:rPr>
          <w:rFonts w:ascii="Times New Roman" w:hAnsi="Times New Roman" w:cs="Times New Roman"/>
          <w:b/>
          <w:sz w:val="24"/>
          <w:szCs w:val="24"/>
        </w:rPr>
        <w:t>Оценка</w:t>
      </w:r>
      <w:r w:rsidRPr="00B82773">
        <w:rPr>
          <w:rFonts w:ascii="Times New Roman" w:hAnsi="Times New Roman" w:cs="Times New Roman"/>
          <w:sz w:val="24"/>
          <w:szCs w:val="24"/>
        </w:rPr>
        <w:t xml:space="preserve"> - 1) Результат процесса оценивания. 2) Мера, представленная  количественно (числом) или качественно (семантически), которая выражает соотнесенность измеренных</w:t>
      </w:r>
      <w:r w:rsidR="00FF4701">
        <w:rPr>
          <w:rFonts w:ascii="Times New Roman" w:hAnsi="Times New Roman" w:cs="Times New Roman"/>
          <w:sz w:val="24"/>
          <w:szCs w:val="24"/>
        </w:rPr>
        <w:t xml:space="preserve"> основных характеристик объекта.</w:t>
      </w:r>
    </w:p>
    <w:p w:rsidR="00C73E54" w:rsidRPr="00B82773" w:rsidRDefault="006B3FD6" w:rsidP="00D443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2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Субъекты </w:t>
      </w:r>
      <w:r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2773">
        <w:rPr>
          <w:rFonts w:ascii="Times New Roman" w:hAnsi="Times New Roman" w:cs="Times New Roman"/>
          <w:sz w:val="24"/>
          <w:szCs w:val="24"/>
        </w:rPr>
        <w:t>организационные единицы (физические и юридические лица), которые самостоятельно принимают решения, планируют и реализуют практические мероприятия в сфере образовательной деятельности.</w:t>
      </w:r>
    </w:p>
    <w:p w:rsidR="006B3FD6" w:rsidRPr="00B82773" w:rsidRDefault="006B3FD6" w:rsidP="006B3F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2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</w:t>
      </w:r>
      <w:r w:rsidRPr="00B8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82773">
        <w:rPr>
          <w:rFonts w:ascii="Times New Roman" w:hAnsi="Times New Roman" w:cs="Times New Roman"/>
          <w:sz w:val="24"/>
          <w:szCs w:val="24"/>
        </w:rPr>
        <w:t>всестороннее исследование высококвалифицированным специалистом  (экспертом) каких-либо вопросов, которые требуют специальных познаний в соответствующей области, для последующего принятия управленческого решения.</w:t>
      </w:r>
    </w:p>
    <w:p w:rsidR="006B3FD6" w:rsidRPr="00AD022B" w:rsidRDefault="00B82773" w:rsidP="00D443D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73">
        <w:rPr>
          <w:rFonts w:ascii="Times New Roman" w:hAnsi="Times New Roman" w:cs="Times New Roman"/>
          <w:b/>
          <w:sz w:val="24"/>
          <w:szCs w:val="24"/>
        </w:rPr>
        <w:t>Результатом оценивания</w:t>
      </w:r>
      <w:r w:rsidRPr="00B82773">
        <w:rPr>
          <w:rFonts w:ascii="Times New Roman" w:hAnsi="Times New Roman" w:cs="Times New Roman"/>
          <w:sz w:val="24"/>
          <w:szCs w:val="24"/>
        </w:rPr>
        <w:t xml:space="preserve"> является однозначное экспертное суждение (решение):</w:t>
      </w:r>
      <w:r w:rsidRPr="00B8277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022B">
        <w:rPr>
          <w:rFonts w:ascii="Times New Roman" w:hAnsi="Times New Roman" w:cs="Times New Roman"/>
          <w:iCs/>
          <w:sz w:val="24"/>
          <w:szCs w:val="24"/>
        </w:rPr>
        <w:t>профессиональные компетенции (выбрать необходимое)</w:t>
      </w:r>
      <w:r w:rsidRPr="00AD022B">
        <w:rPr>
          <w:rFonts w:ascii="Times New Roman" w:hAnsi="Times New Roman" w:cs="Times New Roman"/>
          <w:sz w:val="24"/>
          <w:szCs w:val="24"/>
        </w:rPr>
        <w:t xml:space="preserve"> освое</w:t>
      </w:r>
      <w:proofErr w:type="gramStart"/>
      <w:r w:rsidRPr="00AD022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D022B">
        <w:rPr>
          <w:rFonts w:ascii="Times New Roman" w:hAnsi="Times New Roman" w:cs="Times New Roman"/>
          <w:sz w:val="24"/>
          <w:szCs w:val="24"/>
        </w:rPr>
        <w:t>ы) / не освоен (ы).</w:t>
      </w:r>
    </w:p>
    <w:p w:rsidR="007D7352" w:rsidRPr="00B82773" w:rsidRDefault="0059578E" w:rsidP="00AD022B">
      <w:pPr>
        <w:pStyle w:val="a3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Измерительные средства и инструменты</w:t>
      </w:r>
    </w:p>
    <w:p w:rsidR="0059578E" w:rsidRPr="00B82773" w:rsidRDefault="0059578E" w:rsidP="00AD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73">
        <w:rPr>
          <w:rFonts w:ascii="Times New Roman" w:hAnsi="Times New Roman" w:cs="Times New Roman"/>
          <w:sz w:val="24"/>
          <w:szCs w:val="24"/>
        </w:rPr>
        <w:t xml:space="preserve">При оценке </w:t>
      </w:r>
      <w:r w:rsidR="006F0764" w:rsidRPr="00B8277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</w:t>
      </w:r>
      <w:r w:rsidRPr="00B82773">
        <w:rPr>
          <w:rFonts w:ascii="Times New Roman" w:hAnsi="Times New Roman" w:cs="Times New Roman"/>
          <w:sz w:val="24"/>
          <w:szCs w:val="24"/>
        </w:rPr>
        <w:t>основными методами установления фактических значений показателей являются экспертиза и измерение.</w:t>
      </w:r>
    </w:p>
    <w:p w:rsidR="00FF4701" w:rsidRPr="00FF4701" w:rsidRDefault="00FF4701" w:rsidP="00FF47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F4701">
        <w:rPr>
          <w:rFonts w:ascii="Times New Roman" w:hAnsi="Times New Roman" w:cs="Times New Roman"/>
        </w:rPr>
        <w:t xml:space="preserve">Уровень профессиональных компетенций </w:t>
      </w:r>
      <w:r w:rsidR="00094DCD">
        <w:rPr>
          <w:rFonts w:ascii="Times New Roman" w:hAnsi="Times New Roman" w:cs="Times New Roman"/>
        </w:rPr>
        <w:t xml:space="preserve">выражается через качественные и </w:t>
      </w:r>
      <w:r w:rsidRPr="00FF4701">
        <w:rPr>
          <w:rFonts w:ascii="Times New Roman" w:hAnsi="Times New Roman" w:cs="Times New Roman"/>
        </w:rPr>
        <w:t xml:space="preserve">количественные показатели, тем самым формирование компетенций определяется как уровневый процесс, например, </w:t>
      </w:r>
      <w:r w:rsidRPr="00094DCD">
        <w:rPr>
          <w:rFonts w:ascii="Times New Roman" w:hAnsi="Times New Roman" w:cs="Times New Roman"/>
          <w:iCs/>
        </w:rPr>
        <w:t>начальный, элементарный, продвинутый, высокий.</w:t>
      </w:r>
      <w:r w:rsidRPr="00FF4701">
        <w:rPr>
          <w:rFonts w:ascii="Times New Roman" w:hAnsi="Times New Roman" w:cs="Times New Roman"/>
          <w:i/>
          <w:iCs/>
        </w:rPr>
        <w:t xml:space="preserve"> </w:t>
      </w:r>
      <w:r w:rsidR="004B3B5A" w:rsidRPr="004B3B5A">
        <w:rPr>
          <w:rFonts w:ascii="Times New Roman" w:hAnsi="Times New Roman" w:cs="Times New Roman"/>
        </w:rPr>
        <w:t>Максимальная оценка может быть выражена в традиционных баллах от 2-х до 5-ти.</w:t>
      </w:r>
      <w:r w:rsidR="004B3B5A" w:rsidRPr="00B82773">
        <w:t xml:space="preserve"> </w:t>
      </w:r>
      <w:r w:rsidRPr="00FF4701">
        <w:rPr>
          <w:rFonts w:ascii="Times New Roman" w:hAnsi="Times New Roman" w:cs="Times New Roman"/>
        </w:rPr>
        <w:t xml:space="preserve">Данные уровни могут иметь следующую характеристику: </w:t>
      </w:r>
    </w:p>
    <w:p w:rsidR="00FF4701" w:rsidRPr="00FF4701" w:rsidRDefault="00FF4701" w:rsidP="00FF47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F4701">
        <w:rPr>
          <w:rFonts w:ascii="Times New Roman" w:hAnsi="Times New Roman" w:cs="Times New Roman"/>
        </w:rPr>
        <w:t>1)</w:t>
      </w:r>
      <w:r w:rsidRPr="00CC1B75">
        <w:rPr>
          <w:rFonts w:ascii="Times New Roman" w:hAnsi="Times New Roman" w:cs="Times New Roman"/>
          <w:b/>
        </w:rPr>
        <w:t xml:space="preserve"> </w:t>
      </w:r>
      <w:r w:rsidRPr="00CC1B75">
        <w:rPr>
          <w:rFonts w:ascii="Times New Roman" w:hAnsi="Times New Roman" w:cs="Times New Roman"/>
          <w:b/>
          <w:i/>
          <w:iCs/>
        </w:rPr>
        <w:t>начальный уровень</w:t>
      </w:r>
      <w:r w:rsidR="00D22C2F" w:rsidRPr="00CC1B75">
        <w:rPr>
          <w:rFonts w:ascii="Times New Roman" w:hAnsi="Times New Roman" w:cs="Times New Roman"/>
          <w:b/>
          <w:i/>
          <w:iCs/>
        </w:rPr>
        <w:t>/ 2 балла</w:t>
      </w:r>
      <w:r w:rsidRPr="00CC1B75">
        <w:rPr>
          <w:rFonts w:ascii="Times New Roman" w:hAnsi="Times New Roman" w:cs="Times New Roman"/>
          <w:b/>
          <w:i/>
          <w:iCs/>
        </w:rPr>
        <w:t xml:space="preserve"> </w:t>
      </w:r>
      <w:r w:rsidRPr="00FF4701">
        <w:rPr>
          <w:rFonts w:ascii="Times New Roman" w:hAnsi="Times New Roman" w:cs="Times New Roman"/>
        </w:rPr>
        <w:t xml:space="preserve">характеризуется </w:t>
      </w:r>
      <w:r w:rsidR="00BF10A8">
        <w:rPr>
          <w:rFonts w:ascii="Times New Roman" w:hAnsi="Times New Roman" w:cs="Times New Roman"/>
        </w:rPr>
        <w:t>отсутствием</w:t>
      </w:r>
      <w:r w:rsidRPr="00FF4701">
        <w:rPr>
          <w:rFonts w:ascii="Times New Roman" w:hAnsi="Times New Roman" w:cs="Times New Roman"/>
        </w:rPr>
        <w:t xml:space="preserve"> знаний о действиях, относящихся к реализации профессиональных функций, а именно: шаблонный</w:t>
      </w:r>
      <w:r w:rsidR="00BF10A8">
        <w:rPr>
          <w:rFonts w:ascii="Times New Roman" w:hAnsi="Times New Roman" w:cs="Times New Roman"/>
        </w:rPr>
        <w:t>, примитивный характер представляемых решений, предложений, рекомендаций</w:t>
      </w:r>
      <w:r w:rsidRPr="00FF4701">
        <w:rPr>
          <w:rFonts w:ascii="Times New Roman" w:hAnsi="Times New Roman" w:cs="Times New Roman"/>
        </w:rPr>
        <w:t xml:space="preserve">, отсутствие вариативности используемых средств, </w:t>
      </w:r>
      <w:r w:rsidR="00BF10A8">
        <w:rPr>
          <w:rFonts w:ascii="Times New Roman" w:hAnsi="Times New Roman" w:cs="Times New Roman"/>
        </w:rPr>
        <w:t>слабые навыки проведения</w:t>
      </w:r>
      <w:r w:rsidRPr="00FF4701">
        <w:rPr>
          <w:rFonts w:ascii="Times New Roman" w:hAnsi="Times New Roman" w:cs="Times New Roman"/>
        </w:rPr>
        <w:t xml:space="preserve"> анализ</w:t>
      </w:r>
      <w:r w:rsidR="00BF10A8">
        <w:rPr>
          <w:rFonts w:ascii="Times New Roman" w:hAnsi="Times New Roman" w:cs="Times New Roman"/>
        </w:rPr>
        <w:t>а,</w:t>
      </w:r>
      <w:r w:rsidRPr="00FF4701">
        <w:rPr>
          <w:rFonts w:ascii="Times New Roman" w:hAnsi="Times New Roman" w:cs="Times New Roman"/>
        </w:rPr>
        <w:t xml:space="preserve"> </w:t>
      </w:r>
      <w:r w:rsidR="00BF10A8">
        <w:rPr>
          <w:rFonts w:ascii="Times New Roman" w:hAnsi="Times New Roman" w:cs="Times New Roman"/>
        </w:rPr>
        <w:t>неспособность</w:t>
      </w:r>
      <w:r w:rsidRPr="00FF4701">
        <w:rPr>
          <w:rFonts w:ascii="Times New Roman" w:hAnsi="Times New Roman" w:cs="Times New Roman"/>
        </w:rPr>
        <w:t xml:space="preserve"> определить перспективы развития, отсутствие новаторских, инновационных идей, неумение принимать решения; </w:t>
      </w:r>
    </w:p>
    <w:p w:rsidR="00FF4701" w:rsidRPr="00FF4701" w:rsidRDefault="00FF4701" w:rsidP="00FF47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F4701">
        <w:rPr>
          <w:rFonts w:ascii="Times New Roman" w:hAnsi="Times New Roman" w:cs="Times New Roman"/>
        </w:rPr>
        <w:lastRenderedPageBreak/>
        <w:t xml:space="preserve">2) </w:t>
      </w:r>
      <w:r w:rsidRPr="00CC1B75">
        <w:rPr>
          <w:rFonts w:ascii="Times New Roman" w:hAnsi="Times New Roman" w:cs="Times New Roman"/>
          <w:b/>
          <w:i/>
          <w:iCs/>
        </w:rPr>
        <w:t>элементарный уровень</w:t>
      </w:r>
      <w:r w:rsidR="00D22C2F" w:rsidRPr="00CC1B75">
        <w:rPr>
          <w:rFonts w:ascii="Times New Roman" w:hAnsi="Times New Roman" w:cs="Times New Roman"/>
          <w:b/>
          <w:i/>
          <w:iCs/>
        </w:rPr>
        <w:t>/ 3 балла</w:t>
      </w:r>
      <w:r w:rsidRPr="00FF4701">
        <w:rPr>
          <w:rFonts w:ascii="Times New Roman" w:hAnsi="Times New Roman" w:cs="Times New Roman"/>
          <w:i/>
          <w:iCs/>
        </w:rPr>
        <w:t xml:space="preserve"> </w:t>
      </w:r>
      <w:r w:rsidRPr="00FF4701">
        <w:rPr>
          <w:rFonts w:ascii="Times New Roman" w:hAnsi="Times New Roman" w:cs="Times New Roman"/>
        </w:rPr>
        <w:t xml:space="preserve">характеризуется наличием </w:t>
      </w:r>
      <w:r w:rsidR="00BF10A8">
        <w:rPr>
          <w:rFonts w:ascii="Times New Roman" w:hAnsi="Times New Roman" w:cs="Times New Roman"/>
        </w:rPr>
        <w:t xml:space="preserve">слабо артикулированных </w:t>
      </w:r>
      <w:r w:rsidRPr="00FF4701">
        <w:rPr>
          <w:rFonts w:ascii="Times New Roman" w:hAnsi="Times New Roman" w:cs="Times New Roman"/>
        </w:rPr>
        <w:t xml:space="preserve"> знаний о действиях, относящихся к реализации профессиональных функций, а именно: деятельность носит </w:t>
      </w:r>
      <w:proofErr w:type="spellStart"/>
      <w:r w:rsidRPr="00FF4701">
        <w:rPr>
          <w:rFonts w:ascii="Times New Roman" w:hAnsi="Times New Roman" w:cs="Times New Roman"/>
        </w:rPr>
        <w:t>полушаблонный</w:t>
      </w:r>
      <w:proofErr w:type="spellEnd"/>
      <w:r w:rsidRPr="00FF4701">
        <w:rPr>
          <w:rFonts w:ascii="Times New Roman" w:hAnsi="Times New Roman" w:cs="Times New Roman"/>
        </w:rPr>
        <w:t xml:space="preserve"> характер, целенаправленность действий неустойчива, проведение анализа поверхностно, видение перспектив слабое, решения принимаются по явно определенным проблемам;</w:t>
      </w:r>
    </w:p>
    <w:p w:rsidR="002F5D89" w:rsidRDefault="00FF4701" w:rsidP="002F5D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F4701">
        <w:rPr>
          <w:rFonts w:ascii="Times New Roman" w:hAnsi="Times New Roman" w:cs="Times New Roman"/>
        </w:rPr>
        <w:t xml:space="preserve">3) </w:t>
      </w:r>
      <w:r w:rsidRPr="00CC1B75">
        <w:rPr>
          <w:rFonts w:ascii="Times New Roman" w:hAnsi="Times New Roman" w:cs="Times New Roman"/>
          <w:b/>
          <w:i/>
          <w:iCs/>
        </w:rPr>
        <w:t>продвинутый уровень</w:t>
      </w:r>
      <w:r w:rsidR="00D22C2F" w:rsidRPr="00CC1B75">
        <w:rPr>
          <w:rFonts w:ascii="Times New Roman" w:hAnsi="Times New Roman" w:cs="Times New Roman"/>
          <w:b/>
          <w:i/>
          <w:iCs/>
        </w:rPr>
        <w:t>/ 4 балла</w:t>
      </w:r>
      <w:r w:rsidRPr="00FF4701">
        <w:rPr>
          <w:rFonts w:ascii="Times New Roman" w:hAnsi="Times New Roman" w:cs="Times New Roman"/>
          <w:i/>
          <w:iCs/>
        </w:rPr>
        <w:t xml:space="preserve"> </w:t>
      </w:r>
      <w:r w:rsidRPr="00FF4701">
        <w:rPr>
          <w:rFonts w:ascii="Times New Roman" w:hAnsi="Times New Roman" w:cs="Times New Roman"/>
        </w:rPr>
        <w:t xml:space="preserve">характеризуется осознанностью выполняемых действий, рациональным их исполнением с учетом знаний. Действия целенаправленны и результативны, присутствует анализ собственных действий, </w:t>
      </w:r>
      <w:proofErr w:type="spellStart"/>
      <w:r w:rsidRPr="00FF4701">
        <w:rPr>
          <w:rFonts w:ascii="Times New Roman" w:hAnsi="Times New Roman" w:cs="Times New Roman"/>
        </w:rPr>
        <w:t>инновационность</w:t>
      </w:r>
      <w:proofErr w:type="spellEnd"/>
      <w:r w:rsidRPr="00FF4701">
        <w:rPr>
          <w:rFonts w:ascii="Times New Roman" w:hAnsi="Times New Roman" w:cs="Times New Roman"/>
        </w:rPr>
        <w:t xml:space="preserve">, творчество; </w:t>
      </w:r>
    </w:p>
    <w:p w:rsidR="002F5D89" w:rsidRPr="002F5D89" w:rsidRDefault="002F5D89" w:rsidP="002F5D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F5D89">
        <w:rPr>
          <w:rFonts w:ascii="Times New Roman" w:hAnsi="Times New Roman" w:cs="Times New Roman"/>
          <w:iCs/>
        </w:rPr>
        <w:t>4)</w:t>
      </w:r>
      <w:r w:rsidRPr="00B82773">
        <w:rPr>
          <w:i/>
          <w:iCs/>
        </w:rPr>
        <w:t xml:space="preserve"> </w:t>
      </w:r>
      <w:r w:rsidRPr="00CC1B75">
        <w:rPr>
          <w:rFonts w:ascii="Times New Roman" w:hAnsi="Times New Roman" w:cs="Times New Roman"/>
          <w:b/>
          <w:i/>
          <w:iCs/>
        </w:rPr>
        <w:t>высокий уровень</w:t>
      </w:r>
      <w:r w:rsidR="00D22C2F" w:rsidRPr="00CC1B75">
        <w:rPr>
          <w:rFonts w:ascii="Times New Roman" w:hAnsi="Times New Roman" w:cs="Times New Roman"/>
          <w:b/>
          <w:i/>
          <w:iCs/>
        </w:rPr>
        <w:t>/ 5 баллов</w:t>
      </w:r>
      <w:r w:rsidRPr="002F5D89">
        <w:rPr>
          <w:rFonts w:ascii="Times New Roman" w:hAnsi="Times New Roman" w:cs="Times New Roman"/>
          <w:i/>
          <w:iCs/>
        </w:rPr>
        <w:t xml:space="preserve"> </w:t>
      </w:r>
      <w:r w:rsidRPr="002F5D89">
        <w:rPr>
          <w:rFonts w:ascii="Times New Roman" w:hAnsi="Times New Roman" w:cs="Times New Roman"/>
        </w:rPr>
        <w:t>характеризуется наличием устойчивой мотивации, обобщением опыта, вариативностью и целенаправленностью действий, их творческим характером. Присутствует прогнозирование хода и результата профессионального воздействия, осознание значимости деятельности, умение, адекватно и самостоятельно корректировать пробелы и недочеты, сознательно стремиться к самосовершенствованию.</w:t>
      </w:r>
    </w:p>
    <w:p w:rsidR="00C73E54" w:rsidRPr="002C1F6B" w:rsidRDefault="002C1F6B" w:rsidP="00D44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процедуры 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государственной аттестационной комиссии </w:t>
      </w:r>
      <w:r w:rsidRPr="002C1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 выпускников магистратуры по направлению 42.04.01 «Рек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лама и связи с общественностью» используется  форма, представленная в Приложении 1. Для проведения тестовой процедуры </w:t>
      </w:r>
      <w:r w:rsidRPr="002C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2013-2014 учебном году </w:t>
      </w:r>
      <w:r w:rsidR="00534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упрощенная форма оценки профессиональных компетенций выпускников</w:t>
      </w:r>
      <w:r w:rsidR="00534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F6B" w:rsidRPr="002F5D89" w:rsidRDefault="002C1F6B" w:rsidP="00D44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78E" w:rsidRPr="00B82773" w:rsidRDefault="0059578E" w:rsidP="00CB26C4">
      <w:pPr>
        <w:pStyle w:val="a3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результатов оценки</w:t>
      </w:r>
    </w:p>
    <w:p w:rsidR="002C1F6B" w:rsidRDefault="0059578E" w:rsidP="00D44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73">
        <w:rPr>
          <w:rFonts w:ascii="Times New Roman" w:hAnsi="Times New Roman" w:cs="Times New Roman"/>
          <w:sz w:val="24"/>
          <w:szCs w:val="24"/>
        </w:rPr>
        <w:t>Результаты оценки качества образования являются основой вырабатываемых и реализуемых управленческих воздействий на образовательный процесс</w:t>
      </w:r>
      <w:r w:rsidR="001C7AC4">
        <w:rPr>
          <w:rFonts w:ascii="Times New Roman" w:hAnsi="Times New Roman" w:cs="Times New Roman"/>
          <w:sz w:val="24"/>
          <w:szCs w:val="24"/>
        </w:rPr>
        <w:t>.</w:t>
      </w:r>
    </w:p>
    <w:p w:rsidR="002C1F6B" w:rsidRDefault="002C1F6B" w:rsidP="00D44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578E" w:rsidRDefault="0059578E" w:rsidP="002C1F6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812"/>
        <w:gridCol w:w="1418"/>
        <w:gridCol w:w="1417"/>
        <w:gridCol w:w="1559"/>
        <w:gridCol w:w="1418"/>
        <w:gridCol w:w="2835"/>
      </w:tblGrid>
      <w:tr w:rsidR="002C1F6B" w:rsidRPr="00EF490C" w:rsidTr="00CC1B75">
        <w:trPr>
          <w:trHeight w:val="1065"/>
        </w:trPr>
        <w:tc>
          <w:tcPr>
            <w:tcW w:w="7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Индексы компетенций в соответствии со стандартом СПбГУ</w:t>
            </w:r>
            <w:r w:rsidRPr="00EF4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направлению подготовки 42.04.01  «Реклама и связи с общественностью»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Итоговая государственная </w:t>
            </w:r>
            <w:r w:rsidRPr="00EF4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аттестация - защита ВКР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Комментарии </w:t>
            </w:r>
            <w:r w:rsidRPr="00EF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эксперта</w:t>
            </w:r>
          </w:p>
        </w:tc>
      </w:tr>
      <w:tr w:rsidR="002C1F6B" w:rsidRPr="00EF490C" w:rsidTr="00CC1B75">
        <w:trPr>
          <w:trHeight w:val="1065"/>
        </w:trPr>
        <w:tc>
          <w:tcPr>
            <w:tcW w:w="7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 / условные баллы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1F6B" w:rsidRPr="00EF490C" w:rsidTr="00CC1B75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 (при наличии)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компетенции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(или) описание компетенции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высокий уровень/5 баллов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продвинутый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уровень/4 балла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элементарный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уровень/3 балла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начальный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уровень/2 балла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руководить осуществлением профессиональных функций 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культуры, спорта.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планировать и осуществлять коммуникационные кампании и мероприятия.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управлять процессами стратегического планирования, подготовки, творческой проработки и реализации коммуникационных программ и мероприятий, обеспечивать их качество и эффективность.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Обладает способностью осуществлять корректировку и контроль коммуникационных программ и мероприятий.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разрабатывать стратегические концепции и бизнес-планы проектов, осуществлять руководство проектной деятельностью.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управлять деятельностью коллектива, планировать его работу, обеспечивать ее эффективность.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работать с персоналом, оценивать производительность и качество его труда, устранять конфликты, обеспечивать сплоченность коллектива, толерантность.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самостоятельно принимать управленческие решения и нести за них ответственность.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Обладает способностью разрабатывать эффективную стратегию и формировать политику </w:t>
            </w:r>
            <w:proofErr w:type="gramStart"/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риск-менеджмента</w:t>
            </w:r>
            <w:proofErr w:type="gramEnd"/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предприятии, оперативно принимать решения в кризисных ситуациях.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оценивать затраты и результаты деятельности организации.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Обладает способностью к выработке нестандартных решений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применять перспективные теории и приемы менеджмента, бизнес-процессов, маркетинга.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разрабатывать планы и программы инновационной деятельности,</w:t>
            </w: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технико-экономические обоснования инновационных проектов.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определять стратегические цели и руководить проектированием, планированием, подготовкой и реализацией коммуникационных кампаний и мероприятий.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руководить созданием эффективной коммуникационной инфраструктуры организации.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разрабатывать стратегические концепции и бизнес-планы проектов, задания на их разработку, осуществлять руководство проектной деятельностью.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оценивать качество и эффективность проектов с учетом возможностей использования современных методов их реализации, контроля и корректировки.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использовать элементы экономического анализа в практической деятельности и разрабатывать технико-экономические обоснования проектов.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руководить подготовкой и проведением количественных и качественных исследований.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разрабатывать планы, программы и других материалы прогнозно-аналитического характера.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Обладает способностью консультировать по вопросам рыночных и социальных исследований, планирования и организации кампаний и мероприятий в области рекламы и связей с общественностью, управления деятельностью </w:t>
            </w: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сфере профессиональных компетенций.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Обладает способностью ставить задачи исследования, выбирать методы экспериментальной работы, подготавливать базу для </w:t>
            </w: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научных исследований.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современными достижениями науки и передовой технологии.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применять в исследованиях основные концепции и принципы самоорганизации, эволюции, воспроизводства и развития систем, учитывать их динамику и тенденции.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интегрировать знания, справляться со сложностями и формировать суждения на основе неполной и ограниченной информации.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решать концептуальные и прикладные задачи в широком или междисциплинарном контексте.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к анализу и синтезу, научным обобщениям, выводам и аргументированию соображений, выдвижению новых идей, в том числе в исследовательском контексте.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031F26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способностью интерпретировать и представлять результаты научных исследований, составлять практические рекомендации на их основе, выдвигать принципиально новые гипотезы, прогнозировать тенденции.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Обладает способностью применять накопленные знания и опираться на них в подготовке и написании научно-исследовательских работ, включая кандидатские и докторские диссертации.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F6B" w:rsidRPr="00EF490C" w:rsidTr="00CC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Обладает способностью читать лекции и вести практические занятия в высшем учебном заведении на уровне современных научных требований.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6B" w:rsidRPr="00EF490C" w:rsidRDefault="002C1F6B" w:rsidP="002C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9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bookmarkEnd w:id="0"/>
    </w:tbl>
    <w:p w:rsidR="002C1F6B" w:rsidRPr="00B82773" w:rsidRDefault="002C1F6B" w:rsidP="00534C5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C1F6B" w:rsidRPr="00B82773" w:rsidSect="00CC1B7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9A" w:rsidRDefault="005B6B9A" w:rsidP="00983D98">
      <w:pPr>
        <w:spacing w:after="0" w:line="240" w:lineRule="auto"/>
      </w:pPr>
      <w:r>
        <w:separator/>
      </w:r>
    </w:p>
  </w:endnote>
  <w:endnote w:type="continuationSeparator" w:id="0">
    <w:p w:rsidR="005B6B9A" w:rsidRDefault="005B6B9A" w:rsidP="0098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9A" w:rsidRDefault="005B6B9A" w:rsidP="00983D98">
      <w:pPr>
        <w:spacing w:after="0" w:line="240" w:lineRule="auto"/>
      </w:pPr>
      <w:r>
        <w:separator/>
      </w:r>
    </w:p>
  </w:footnote>
  <w:footnote w:type="continuationSeparator" w:id="0">
    <w:p w:rsidR="005B6B9A" w:rsidRDefault="005B6B9A" w:rsidP="0098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148186"/>
      <w:docPartObj>
        <w:docPartGallery w:val="Page Numbers (Top of Page)"/>
        <w:docPartUnique/>
      </w:docPartObj>
    </w:sdtPr>
    <w:sdtEndPr/>
    <w:sdtContent>
      <w:p w:rsidR="00983D98" w:rsidRDefault="00983D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5B9">
          <w:rPr>
            <w:noProof/>
          </w:rPr>
          <w:t>1</w:t>
        </w:r>
        <w:r>
          <w:fldChar w:fldCharType="end"/>
        </w:r>
      </w:p>
    </w:sdtContent>
  </w:sdt>
  <w:p w:rsidR="00983D98" w:rsidRDefault="00983D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0C85"/>
    <w:multiLevelType w:val="hybridMultilevel"/>
    <w:tmpl w:val="EA6AA9C4"/>
    <w:lvl w:ilvl="0" w:tplc="758AA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4A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2B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85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A5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C3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C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88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80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ED509D"/>
    <w:multiLevelType w:val="hybridMultilevel"/>
    <w:tmpl w:val="C64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83693"/>
    <w:multiLevelType w:val="hybridMultilevel"/>
    <w:tmpl w:val="0D14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4F0"/>
    <w:rsid w:val="00094DCD"/>
    <w:rsid w:val="001310C8"/>
    <w:rsid w:val="001B46E6"/>
    <w:rsid w:val="001C7AC4"/>
    <w:rsid w:val="001D4AA2"/>
    <w:rsid w:val="00266949"/>
    <w:rsid w:val="002C1F6B"/>
    <w:rsid w:val="002F5D89"/>
    <w:rsid w:val="00335A14"/>
    <w:rsid w:val="00405410"/>
    <w:rsid w:val="004950CE"/>
    <w:rsid w:val="004A52C1"/>
    <w:rsid w:val="004B3B5A"/>
    <w:rsid w:val="004E35B9"/>
    <w:rsid w:val="004E7D21"/>
    <w:rsid w:val="00534C5A"/>
    <w:rsid w:val="005413E9"/>
    <w:rsid w:val="0059578E"/>
    <w:rsid w:val="005B6B9A"/>
    <w:rsid w:val="005D454C"/>
    <w:rsid w:val="0069774D"/>
    <w:rsid w:val="006B3FD6"/>
    <w:rsid w:val="006F0764"/>
    <w:rsid w:val="007C1208"/>
    <w:rsid w:val="007D7352"/>
    <w:rsid w:val="007D7A8F"/>
    <w:rsid w:val="00800C1B"/>
    <w:rsid w:val="00870845"/>
    <w:rsid w:val="00983D98"/>
    <w:rsid w:val="00A422EE"/>
    <w:rsid w:val="00AD022B"/>
    <w:rsid w:val="00AD284C"/>
    <w:rsid w:val="00AE3B03"/>
    <w:rsid w:val="00B504F0"/>
    <w:rsid w:val="00B82773"/>
    <w:rsid w:val="00BB14D3"/>
    <w:rsid w:val="00BF10A8"/>
    <w:rsid w:val="00C14520"/>
    <w:rsid w:val="00C73E54"/>
    <w:rsid w:val="00CB26C4"/>
    <w:rsid w:val="00CC1B75"/>
    <w:rsid w:val="00D22C2F"/>
    <w:rsid w:val="00D235A2"/>
    <w:rsid w:val="00D401DC"/>
    <w:rsid w:val="00D443D3"/>
    <w:rsid w:val="00DE5C1E"/>
    <w:rsid w:val="00E84F36"/>
    <w:rsid w:val="00EA7558"/>
    <w:rsid w:val="00F232E6"/>
    <w:rsid w:val="00F64DD8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E"/>
  </w:style>
  <w:style w:type="paragraph" w:styleId="4">
    <w:name w:val="heading 4"/>
    <w:basedOn w:val="a"/>
    <w:next w:val="a"/>
    <w:link w:val="40"/>
    <w:uiPriority w:val="99"/>
    <w:qFormat/>
    <w:rsid w:val="006F076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E9"/>
    <w:pPr>
      <w:ind w:left="720"/>
      <w:contextualSpacing/>
    </w:pPr>
  </w:style>
  <w:style w:type="table" w:styleId="a4">
    <w:name w:val="Table Grid"/>
    <w:basedOn w:val="a1"/>
    <w:uiPriority w:val="59"/>
    <w:rsid w:val="00E84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4A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F0764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8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D98"/>
  </w:style>
  <w:style w:type="paragraph" w:styleId="a7">
    <w:name w:val="footer"/>
    <w:basedOn w:val="a"/>
    <w:link w:val="a8"/>
    <w:uiPriority w:val="99"/>
    <w:unhideWhenUsed/>
    <w:rsid w:val="0098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3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E459-1EB7-4265-9633-BB913CED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Marmot</cp:lastModifiedBy>
  <cp:revision>2</cp:revision>
  <dcterms:created xsi:type="dcterms:W3CDTF">2014-05-27T06:44:00Z</dcterms:created>
  <dcterms:modified xsi:type="dcterms:W3CDTF">2014-05-27T06:44:00Z</dcterms:modified>
</cp:coreProperties>
</file>